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D" w:rsidRDefault="005412AD" w:rsidP="005412AD">
      <w:pPr>
        <w:pStyle w:val="Standard"/>
      </w:pPr>
    </w:p>
    <w:tbl>
      <w:tblPr>
        <w:tblW w:w="9407" w:type="dxa"/>
        <w:tblInd w:w="-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44"/>
        <w:gridCol w:w="7763"/>
      </w:tblGrid>
      <w:tr w:rsidR="005412AD" w:rsidTr="004617C6">
        <w:trPr>
          <w:trHeight w:val="181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2AD" w:rsidRDefault="005412AD" w:rsidP="004617C6">
            <w:pPr>
              <w:pStyle w:val="TableContents"/>
              <w:ind w:left="60" w:right="45"/>
            </w:pPr>
            <w:bookmarkStart w:id="0" w:name="_Hlk504036212"/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93341</wp:posOffset>
                  </wp:positionH>
                  <wp:positionV relativeFrom="paragraph">
                    <wp:posOffset>-52706</wp:posOffset>
                  </wp:positionV>
                  <wp:extent cx="740407" cy="960120"/>
                  <wp:effectExtent l="0" t="0" r="2543" b="0"/>
                  <wp:wrapNone/>
                  <wp:docPr id="1" name="obrázky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07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12AD" w:rsidRDefault="005412AD" w:rsidP="004617C6">
            <w:pPr>
              <w:pStyle w:val="TableContents"/>
              <w:ind w:left="199" w:right="292"/>
              <w:jc w:val="center"/>
            </w:pPr>
            <w:r>
              <w:rPr>
                <w:rStyle w:val="Standardnpsmoodstavce2"/>
                <w:rFonts w:ascii="Calibri" w:hAnsi="Calibri"/>
                <w:b/>
                <w:bCs/>
                <w:sz w:val="22"/>
              </w:rPr>
              <w:t xml:space="preserve"> </w:t>
            </w:r>
            <w:r>
              <w:rPr>
                <w:rStyle w:val="Standardnpsmoodstavce2"/>
                <w:rFonts w:ascii="Calibri" w:hAnsi="Calibri"/>
                <w:b/>
                <w:bCs/>
                <w:szCs w:val="26"/>
              </w:rPr>
              <w:t>Městské centrum sociálně rehabilitačních služeb - domov pro seniory</w:t>
            </w:r>
          </w:p>
          <w:p w:rsidR="005412AD" w:rsidRDefault="005412AD" w:rsidP="004617C6">
            <w:pPr>
              <w:pStyle w:val="TableContents"/>
              <w:spacing w:after="60"/>
              <w:ind w:left="198" w:right="289"/>
              <w:jc w:val="center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     </w:t>
            </w:r>
            <w:proofErr w:type="spellStart"/>
            <w:r>
              <w:rPr>
                <w:rFonts w:ascii="Calibri" w:hAnsi="Calibri"/>
                <w:sz w:val="23"/>
                <w:szCs w:val="23"/>
              </w:rPr>
              <w:t>Baldovská</w:t>
            </w:r>
            <w:proofErr w:type="spellEnd"/>
            <w:r>
              <w:rPr>
                <w:rFonts w:ascii="Calibri" w:hAnsi="Calibri"/>
                <w:sz w:val="23"/>
                <w:szCs w:val="23"/>
              </w:rPr>
              <w:t xml:space="preserve"> 638, 344 01 Domažlice</w:t>
            </w:r>
          </w:p>
          <w:p w:rsidR="005412AD" w:rsidRDefault="005412AD" w:rsidP="004617C6">
            <w:pPr>
              <w:pStyle w:val="TableContents"/>
              <w:spacing w:before="57"/>
              <w:ind w:left="199" w:right="292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oddělené pracoviště: Domov se zvláštním režimem, Benešova 97, Domažlice</w:t>
            </w:r>
          </w:p>
          <w:p w:rsidR="005412AD" w:rsidRDefault="005412AD" w:rsidP="00EF7F6C">
            <w:pPr>
              <w:pStyle w:val="TableContents"/>
              <w:tabs>
                <w:tab w:val="left" w:pos="5850"/>
              </w:tabs>
              <w:ind w:left="199" w:right="292"/>
            </w:pPr>
            <w:r>
              <w:rPr>
                <w:rFonts w:ascii="Calibri" w:hAnsi="Calibri"/>
                <w:sz w:val="23"/>
                <w:szCs w:val="23"/>
              </w:rPr>
              <w:t xml:space="preserve">tel.: </w:t>
            </w:r>
            <w:r w:rsidR="00EF7F6C">
              <w:rPr>
                <w:rFonts w:ascii="Calibri" w:hAnsi="Calibri"/>
                <w:sz w:val="23"/>
                <w:szCs w:val="23"/>
              </w:rPr>
              <w:t>737 246 644</w:t>
            </w:r>
            <w:bookmarkStart w:id="1" w:name="_GoBack"/>
            <w:bookmarkEnd w:id="1"/>
          </w:p>
        </w:tc>
      </w:tr>
      <w:bookmarkEnd w:id="0"/>
    </w:tbl>
    <w:p w:rsidR="005412AD" w:rsidRDefault="005412AD" w:rsidP="005412AD">
      <w:pPr>
        <w:pStyle w:val="Textbody"/>
        <w:jc w:val="center"/>
      </w:pP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  <w:r w:rsidRPr="001D2AA1">
        <w:rPr>
          <w:rFonts w:cs="Times New Roman"/>
          <w:b/>
          <w:bCs/>
          <w:color w:val="000000"/>
          <w:spacing w:val="26"/>
          <w:u w:val="single"/>
        </w:rPr>
        <w:t xml:space="preserve">STÍŽNOSTI NA KVALITU NEBO ZPŮSOB POSKYTOVÁNÍ </w:t>
      </w:r>
      <w:r w:rsidRPr="001D2AA1">
        <w:rPr>
          <w:rFonts w:cs="Times New Roman"/>
          <w:b/>
          <w:bCs/>
          <w:color w:val="000000"/>
          <w:spacing w:val="26"/>
          <w:u w:val="single"/>
        </w:rPr>
        <w:br/>
        <w:t>SOCIÁLNÍ SLUŽBY</w:t>
      </w: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  <w:r w:rsidRPr="001D2AA1">
        <w:rPr>
          <w:rFonts w:cs="Times New Roman"/>
        </w:rPr>
        <w:t xml:space="preserve">Definicí stížnosti je myšleno důležité poselství o spokojenosti či nespokojenosti </w:t>
      </w:r>
      <w:r w:rsidRPr="001D2AA1">
        <w:rPr>
          <w:rFonts w:cs="Times New Roman"/>
        </w:rPr>
        <w:br/>
        <w:t>s poskytovanou službou a o tom, zda služba odpovídá potřebám uživatelů. Je to důležitý zdroj informací o možnostech, jak zlepšit službu. Současně jde o nástroj kontroly uživatele nad službou, která je mu poskytována. Stížnost je obranou proti neoprávněnému zásahu do práv a chráněných zájmů fyzické osoby.</w:t>
      </w: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  <w:r w:rsidRPr="001D2AA1">
        <w:rPr>
          <w:rFonts w:cs="Times New Roman"/>
        </w:rPr>
        <w:t xml:space="preserve">Stížnosti jsou významným zdrojem informací o možnostech zlepšit poskytované služby </w:t>
      </w:r>
      <w:r w:rsidRPr="001D2AA1">
        <w:rPr>
          <w:rFonts w:cs="Times New Roman"/>
        </w:rPr>
        <w:br/>
        <w:t>v organizaci. Přinášejí důležitá poselství o spokojenosti uživatelů. Zároveň jsou i obranou proti neoprávněnému zásahu do práv a chráněných zájmů uživatele.</w:t>
      </w: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  <w:r w:rsidRPr="001D2AA1">
        <w:rPr>
          <w:rFonts w:cs="Times New Roman"/>
        </w:rPr>
        <w:t xml:space="preserve">Stížnost je takové podání uživatele, v němž žádá prošetření nebo nápravu skutečnosti, kterou se cítí být poškozen a kterou nemůže řešit vlastními prostředky. </w:t>
      </w:r>
      <w:r w:rsidRPr="001D2AA1">
        <w:rPr>
          <w:rFonts w:cs="Times New Roman"/>
        </w:rPr>
        <w:tab/>
      </w: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  <w:r w:rsidRPr="001D2AA1">
        <w:rPr>
          <w:rFonts w:cs="Times New Roman"/>
        </w:rPr>
        <w:t>Každý uživatel má právo stěžovat si na kvalitu nebo způsob poskyto</w:t>
      </w:r>
      <w:r w:rsidR="001D2AA1">
        <w:rPr>
          <w:rFonts w:cs="Times New Roman"/>
        </w:rPr>
        <w:t>vání sociálních služeb, aniž by </w:t>
      </w:r>
      <w:r w:rsidRPr="001D2AA1">
        <w:rPr>
          <w:rFonts w:cs="Times New Roman"/>
        </w:rPr>
        <w:t>tím byl jakýmkoli způsobem ohrožen, a je o tomto personálem informován.</w:t>
      </w: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  <w:r w:rsidRPr="001D2AA1">
        <w:rPr>
          <w:rFonts w:cs="Times New Roman"/>
        </w:rPr>
        <w:t>Vlastní hodnocení toho, zda jde nebo nejde o stížnost na službu, je předmětem vyřizování stížnosti.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  <w:b/>
        </w:rPr>
        <w:t>Formy stížností:</w:t>
      </w:r>
      <w:r w:rsidR="001D2AA1">
        <w:rPr>
          <w:rFonts w:cs="Times New Roman"/>
        </w:rPr>
        <w:t xml:space="preserve"> </w:t>
      </w:r>
      <w:r w:rsidRPr="001D2AA1">
        <w:rPr>
          <w:rFonts w:cs="Times New Roman"/>
        </w:rPr>
        <w:t>ústní</w:t>
      </w:r>
      <w:r w:rsidR="001D2AA1">
        <w:rPr>
          <w:rFonts w:cs="Times New Roman"/>
        </w:rPr>
        <w:t xml:space="preserve">, </w:t>
      </w:r>
      <w:r w:rsidRPr="001D2AA1">
        <w:rPr>
          <w:rFonts w:cs="Times New Roman"/>
        </w:rPr>
        <w:t>písemné</w:t>
      </w:r>
      <w:r w:rsidR="001D2AA1">
        <w:rPr>
          <w:rFonts w:cs="Times New Roman"/>
        </w:rPr>
        <w:t>, elektronické, anonymní</w:t>
      </w:r>
    </w:p>
    <w:p w:rsidR="005412AD" w:rsidRPr="001D2AA1" w:rsidRDefault="005412AD" w:rsidP="001D2AA1">
      <w:pPr>
        <w:pStyle w:val="Textbody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jc w:val="both"/>
        <w:rPr>
          <w:rFonts w:cs="Times New Roman"/>
          <w:b/>
          <w:bCs/>
        </w:rPr>
      </w:pPr>
      <w:r w:rsidRPr="001D2AA1">
        <w:rPr>
          <w:rFonts w:cs="Times New Roman"/>
          <w:b/>
          <w:bCs/>
        </w:rPr>
        <w:t>Stížnost může podat:</w:t>
      </w:r>
    </w:p>
    <w:p w:rsidR="005412AD" w:rsidRPr="001D2AA1" w:rsidRDefault="005412AD" w:rsidP="001D2AA1">
      <w:pPr>
        <w:pStyle w:val="Textbody"/>
        <w:numPr>
          <w:ilvl w:val="0"/>
          <w:numId w:val="2"/>
        </w:numPr>
        <w:spacing w:before="120"/>
        <w:ind w:left="714" w:hanging="357"/>
        <w:jc w:val="both"/>
        <w:rPr>
          <w:rFonts w:cs="Times New Roman"/>
        </w:rPr>
      </w:pPr>
      <w:r w:rsidRPr="001D2AA1">
        <w:rPr>
          <w:rFonts w:cs="Times New Roman"/>
        </w:rPr>
        <w:t>uživatel</w:t>
      </w:r>
    </w:p>
    <w:p w:rsidR="005412AD" w:rsidRPr="001D2AA1" w:rsidRDefault="005412AD" w:rsidP="001D2AA1">
      <w:pPr>
        <w:pStyle w:val="Textbody"/>
        <w:numPr>
          <w:ilvl w:val="0"/>
          <w:numId w:val="2"/>
        </w:numPr>
        <w:spacing w:before="120"/>
        <w:ind w:left="714" w:hanging="357"/>
        <w:jc w:val="both"/>
        <w:rPr>
          <w:rFonts w:cs="Times New Roman"/>
        </w:rPr>
      </w:pPr>
      <w:r w:rsidRPr="001D2AA1">
        <w:rPr>
          <w:rFonts w:cs="Times New Roman"/>
        </w:rPr>
        <w:t>osoba pověřená uživatelem</w:t>
      </w:r>
    </w:p>
    <w:p w:rsidR="005412AD" w:rsidRPr="001D2AA1" w:rsidRDefault="005412AD" w:rsidP="001D2AA1">
      <w:pPr>
        <w:pStyle w:val="Textbody"/>
        <w:numPr>
          <w:ilvl w:val="0"/>
          <w:numId w:val="2"/>
        </w:numPr>
        <w:spacing w:before="120"/>
        <w:ind w:left="714" w:hanging="357"/>
        <w:jc w:val="both"/>
        <w:rPr>
          <w:rFonts w:cs="Times New Roman"/>
        </w:rPr>
      </w:pPr>
      <w:r w:rsidRPr="001D2AA1">
        <w:rPr>
          <w:rFonts w:cs="Times New Roman"/>
        </w:rPr>
        <w:t>rodinný příslušník či jiná osoba blízká</w:t>
      </w:r>
    </w:p>
    <w:p w:rsidR="005412AD" w:rsidRPr="001D2AA1" w:rsidRDefault="005412AD" w:rsidP="001D2AA1">
      <w:pPr>
        <w:pStyle w:val="Textbody"/>
        <w:numPr>
          <w:ilvl w:val="0"/>
          <w:numId w:val="2"/>
        </w:numPr>
        <w:spacing w:before="120"/>
        <w:ind w:left="714" w:hanging="357"/>
        <w:jc w:val="both"/>
        <w:rPr>
          <w:rFonts w:cs="Times New Roman"/>
        </w:rPr>
      </w:pPr>
      <w:r w:rsidRPr="001D2AA1">
        <w:rPr>
          <w:rFonts w:cs="Times New Roman"/>
        </w:rPr>
        <w:t>jakákoliv osoba, která se domnívá, že je důvod pro podání stížnosti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Stížnosti mohou být předány komukoli z personálu, který je povinen je převzít. Personál zná základní postup pro vyřizování stížností a ví o místě, kde jsou stížnosti shromažďovány.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Uživatelé služeb jsou informováni o způsobech, formách a možno</w:t>
      </w:r>
      <w:r w:rsidR="001D2AA1">
        <w:rPr>
          <w:rFonts w:cs="Times New Roman"/>
        </w:rPr>
        <w:t>stech podání stížností tak, aby </w:t>
      </w:r>
      <w:r w:rsidRPr="001D2AA1">
        <w:rPr>
          <w:rFonts w:cs="Times New Roman"/>
        </w:rPr>
        <w:t>byly uspokojeny jejich potřeby. Vedoucí pracovníci informují zaměstnance o možnostech uživatelů podávat stížnosti.</w:t>
      </w:r>
      <w:r w:rsidR="001D2AA1">
        <w:rPr>
          <w:rFonts w:cs="Times New Roman"/>
        </w:rPr>
        <w:t xml:space="preserve"> </w:t>
      </w:r>
      <w:r w:rsidRPr="001D2AA1">
        <w:rPr>
          <w:rFonts w:cs="Times New Roman"/>
        </w:rPr>
        <w:t>Dále vedoucí pracovníci informují klienty domova pro seniory prostřednictvím příslušné formy komunikace v rámci pravidelných setkání o jejich právu stěžovat si a také o možnosti podat stížnost v zastoupení třetí osoby nebo osoby blízké.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  <w:b/>
          <w:bCs/>
        </w:rPr>
      </w:pP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  <w:b/>
          <w:bCs/>
          <w:iCs/>
          <w:u w:val="single"/>
        </w:rPr>
      </w:pPr>
      <w:r w:rsidRPr="001D2AA1">
        <w:rPr>
          <w:rFonts w:cs="Times New Roman"/>
          <w:b/>
          <w:bCs/>
          <w:iCs/>
          <w:u w:val="single"/>
        </w:rPr>
        <w:t>PRAVIDLA PRO PODÁVÁNÍ A VYŘIZOVÁNÍ STÍŽNOSTÍ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  <w:b/>
          <w:bCs/>
        </w:rPr>
      </w:pPr>
    </w:p>
    <w:p w:rsidR="005412AD" w:rsidRPr="001D2AA1" w:rsidRDefault="001D2AA1" w:rsidP="001D2AA1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Právo uživatele</w:t>
      </w:r>
      <w:r w:rsidR="005412AD" w:rsidRPr="001D2AA1">
        <w:rPr>
          <w:rFonts w:cs="Times New Roman"/>
          <w:b/>
          <w:bCs/>
        </w:rPr>
        <w:t xml:space="preserve"> podávat podněty, stížnosti a připomínky</w:t>
      </w:r>
    </w:p>
    <w:p w:rsidR="005412AD" w:rsidRPr="001D2AA1" w:rsidRDefault="001D2AA1" w:rsidP="001D2AA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Uživatelé</w:t>
      </w:r>
      <w:r w:rsidR="005412AD" w:rsidRPr="001D2AA1">
        <w:rPr>
          <w:rFonts w:cs="Times New Roman"/>
        </w:rPr>
        <w:t xml:space="preserve"> mají nezpochybnitelné právo podat si stížnost na záležitosti týkající se života, sociálních služeb a provozu v zařízení. Mohou také podávat podněty, návrhy, </w:t>
      </w:r>
      <w:r>
        <w:rPr>
          <w:rFonts w:cs="Times New Roman"/>
        </w:rPr>
        <w:t>případně sdělit pochvalu. Také si </w:t>
      </w:r>
      <w:r w:rsidR="005412AD" w:rsidRPr="001D2AA1">
        <w:rPr>
          <w:rFonts w:cs="Times New Roman"/>
        </w:rPr>
        <w:t>mohou k tomuto účelu svobodně zvolit zástupce, který je bude zastupovat při vyřizování stížnosti. Nikdo nesmí pocítit jakoukoli újmu v souvislosti s podáním stížnosti.</w:t>
      </w:r>
    </w:p>
    <w:p w:rsidR="005412AD" w:rsidRPr="001D2AA1" w:rsidRDefault="005412AD" w:rsidP="001D2AA1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 w:rsidRPr="001D2AA1">
        <w:rPr>
          <w:rFonts w:cs="Times New Roman"/>
          <w:b/>
          <w:bCs/>
        </w:rPr>
        <w:lastRenderedPageBreak/>
        <w:t>Forma podání stížností, připomínek a podnětů</w:t>
      </w:r>
    </w:p>
    <w:p w:rsidR="005412AD" w:rsidRPr="001D2AA1" w:rsidRDefault="005412AD" w:rsidP="001D2AA1">
      <w:pPr>
        <w:pStyle w:val="Textbody"/>
        <w:numPr>
          <w:ilvl w:val="0"/>
          <w:numId w:val="4"/>
        </w:numPr>
        <w:spacing w:before="120"/>
        <w:ind w:left="426"/>
        <w:jc w:val="both"/>
        <w:rPr>
          <w:rFonts w:cs="Times New Roman"/>
          <w:b/>
          <w:i/>
          <w:iCs/>
        </w:rPr>
      </w:pPr>
      <w:r w:rsidRPr="001D2AA1">
        <w:rPr>
          <w:rFonts w:cs="Times New Roman"/>
          <w:b/>
          <w:i/>
          <w:iCs/>
        </w:rPr>
        <w:t>písemná forma</w:t>
      </w:r>
    </w:p>
    <w:p w:rsidR="005412AD" w:rsidRPr="001D2AA1" w:rsidRDefault="005412AD" w:rsidP="001D2AA1">
      <w:pPr>
        <w:pStyle w:val="Textbody"/>
        <w:spacing w:before="120"/>
        <w:ind w:left="-76"/>
        <w:jc w:val="both"/>
        <w:rPr>
          <w:rFonts w:cs="Times New Roman"/>
        </w:rPr>
      </w:pPr>
      <w:r w:rsidRPr="001D2AA1">
        <w:rPr>
          <w:rFonts w:cs="Times New Roman"/>
        </w:rPr>
        <w:t>Stěžovatel může zaslat stížnost na adresu zařízení:</w:t>
      </w:r>
    </w:p>
    <w:p w:rsidR="005412AD" w:rsidRPr="001D2AA1" w:rsidRDefault="005412AD" w:rsidP="001D2AA1">
      <w:pPr>
        <w:pStyle w:val="Textbody"/>
        <w:spacing w:after="0"/>
        <w:ind w:left="-74"/>
        <w:jc w:val="both"/>
        <w:rPr>
          <w:rFonts w:cs="Times New Roman"/>
        </w:rPr>
      </w:pPr>
      <w:r w:rsidRPr="001D2AA1">
        <w:rPr>
          <w:rFonts w:cs="Times New Roman"/>
        </w:rPr>
        <w:t>Domov se zvláštním režimem</w:t>
      </w:r>
    </w:p>
    <w:p w:rsidR="005412AD" w:rsidRPr="001D2AA1" w:rsidRDefault="005412AD" w:rsidP="001D2AA1">
      <w:pPr>
        <w:pStyle w:val="Textbody"/>
        <w:spacing w:after="0"/>
        <w:ind w:left="-74"/>
        <w:jc w:val="both"/>
        <w:rPr>
          <w:rFonts w:cs="Times New Roman"/>
        </w:rPr>
      </w:pPr>
      <w:r w:rsidRPr="001D2AA1">
        <w:rPr>
          <w:rFonts w:cs="Times New Roman"/>
        </w:rPr>
        <w:t>Benešova 97</w:t>
      </w:r>
    </w:p>
    <w:p w:rsidR="005412AD" w:rsidRPr="001D2AA1" w:rsidRDefault="005412AD" w:rsidP="001D2AA1">
      <w:pPr>
        <w:pStyle w:val="Textbody"/>
        <w:spacing w:after="0"/>
        <w:ind w:left="-76"/>
        <w:jc w:val="both"/>
        <w:rPr>
          <w:rFonts w:cs="Times New Roman"/>
        </w:rPr>
      </w:pPr>
      <w:r w:rsidRPr="001D2AA1">
        <w:rPr>
          <w:rFonts w:cs="Times New Roman"/>
        </w:rPr>
        <w:t>344 01 Domažlice</w:t>
      </w:r>
    </w:p>
    <w:p w:rsidR="005412AD" w:rsidRPr="001D2AA1" w:rsidRDefault="005412AD" w:rsidP="001D2AA1">
      <w:pPr>
        <w:pStyle w:val="Textbody"/>
        <w:numPr>
          <w:ilvl w:val="0"/>
          <w:numId w:val="4"/>
        </w:numPr>
        <w:spacing w:before="120"/>
        <w:ind w:left="426"/>
        <w:jc w:val="both"/>
        <w:rPr>
          <w:rFonts w:cs="Times New Roman"/>
          <w:b/>
          <w:i/>
          <w:iCs/>
        </w:rPr>
      </w:pPr>
      <w:r w:rsidRPr="001D2AA1">
        <w:rPr>
          <w:rFonts w:cs="Times New Roman"/>
          <w:b/>
          <w:i/>
          <w:iCs/>
        </w:rPr>
        <w:t>ústní forma</w:t>
      </w:r>
    </w:p>
    <w:p w:rsidR="005412AD" w:rsidRPr="001D2AA1" w:rsidRDefault="005412AD" w:rsidP="001D2AA1">
      <w:pPr>
        <w:pStyle w:val="Textbody"/>
        <w:spacing w:before="120"/>
        <w:jc w:val="both"/>
        <w:rPr>
          <w:rFonts w:cs="Times New Roman"/>
        </w:rPr>
      </w:pPr>
      <w:r w:rsidRPr="001D2AA1">
        <w:rPr>
          <w:rFonts w:cs="Times New Roman"/>
        </w:rPr>
        <w:t>Ústní stížnost je možno podat kterémukoliv zaměstnanci zařízení. Tento zaměstnanec je povinen bez jakékoliv změny předat obsah stížnosti vedoucímu pracovníkovi</w:t>
      </w:r>
      <w:r w:rsidR="001D2AA1">
        <w:rPr>
          <w:rFonts w:cs="Times New Roman"/>
        </w:rPr>
        <w:t>, který tuto stížnost zapíše do </w:t>
      </w:r>
      <w:r w:rsidRPr="001D2AA1">
        <w:rPr>
          <w:rFonts w:cs="Times New Roman"/>
        </w:rPr>
        <w:t>Knihy stížností. Zatají-li pracovník stížnost nebo změní-li její obsah, bude sankcio</w:t>
      </w:r>
      <w:r w:rsidR="001D2AA1">
        <w:rPr>
          <w:rFonts w:cs="Times New Roman"/>
        </w:rPr>
        <w:t>no</w:t>
      </w:r>
      <w:r w:rsidRPr="001D2AA1">
        <w:rPr>
          <w:rFonts w:cs="Times New Roman"/>
        </w:rPr>
        <w:t>ván dle pravidel uvedených ve Standardu č. 10 (porušení pracovní kázně a pracovních povinností)</w:t>
      </w:r>
    </w:p>
    <w:p w:rsidR="005412AD" w:rsidRPr="001D2AA1" w:rsidRDefault="005412AD" w:rsidP="001D2AA1">
      <w:pPr>
        <w:pStyle w:val="Textbody"/>
        <w:numPr>
          <w:ilvl w:val="0"/>
          <w:numId w:val="4"/>
        </w:numPr>
        <w:spacing w:before="120"/>
        <w:ind w:left="426" w:hanging="357"/>
        <w:jc w:val="both"/>
        <w:rPr>
          <w:rFonts w:cs="Times New Roman"/>
          <w:b/>
          <w:i/>
          <w:iCs/>
        </w:rPr>
      </w:pPr>
      <w:r w:rsidRPr="001D2AA1">
        <w:rPr>
          <w:rFonts w:cs="Times New Roman"/>
          <w:b/>
          <w:i/>
          <w:iCs/>
        </w:rPr>
        <w:t>elektronická forma</w:t>
      </w:r>
    </w:p>
    <w:p w:rsidR="005412AD" w:rsidRPr="001D2AA1" w:rsidRDefault="005412AD" w:rsidP="001D2AA1">
      <w:pPr>
        <w:pStyle w:val="Textbody"/>
        <w:spacing w:before="120"/>
        <w:jc w:val="both"/>
        <w:rPr>
          <w:rFonts w:cs="Times New Roman"/>
          <w:b/>
        </w:rPr>
      </w:pPr>
      <w:r w:rsidRPr="001D2AA1">
        <w:rPr>
          <w:rFonts w:cs="Times New Roman"/>
        </w:rPr>
        <w:t>Každý může poslat stížnost na e-</w:t>
      </w:r>
      <w:proofErr w:type="spellStart"/>
      <w:r w:rsidRPr="001D2AA1">
        <w:rPr>
          <w:rFonts w:cs="Times New Roman"/>
        </w:rPr>
        <w:t>mailovou</w:t>
      </w:r>
      <w:proofErr w:type="spellEnd"/>
      <w:r w:rsidRPr="001D2AA1">
        <w:rPr>
          <w:rFonts w:cs="Times New Roman"/>
        </w:rPr>
        <w:t xml:space="preserve"> adresu</w:t>
      </w:r>
      <w:r w:rsidR="00916481" w:rsidRPr="001D2AA1">
        <w:rPr>
          <w:rFonts w:cs="Times New Roman"/>
        </w:rPr>
        <w:t xml:space="preserve">: </w:t>
      </w:r>
      <w:r w:rsidR="00916481" w:rsidRPr="001D2AA1">
        <w:rPr>
          <w:rFonts w:cs="Times New Roman"/>
          <w:b/>
        </w:rPr>
        <w:t>reditelka@soc-sluzbymestadomazlice.cz</w:t>
      </w:r>
    </w:p>
    <w:p w:rsidR="005412AD" w:rsidRPr="001D2AA1" w:rsidRDefault="005412AD" w:rsidP="001D2AA1">
      <w:pPr>
        <w:pStyle w:val="Textbody"/>
        <w:spacing w:before="120"/>
        <w:jc w:val="both"/>
        <w:rPr>
          <w:rFonts w:cs="Times New Roman"/>
        </w:rPr>
      </w:pPr>
      <w:r w:rsidRPr="001D2AA1">
        <w:rPr>
          <w:rFonts w:cs="Times New Roman"/>
        </w:rPr>
        <w:t>Zaměstnanec, který kontroluje korespondenci, takto přijatou stížnost vytiskne a postupuje stejným způsobem uvedeným při přijetí písemné stížnosti.</w:t>
      </w:r>
    </w:p>
    <w:p w:rsidR="005412AD" w:rsidRPr="001D2AA1" w:rsidRDefault="005412AD" w:rsidP="001D2AA1">
      <w:pPr>
        <w:pStyle w:val="Textbody"/>
        <w:numPr>
          <w:ilvl w:val="0"/>
          <w:numId w:val="4"/>
        </w:numPr>
        <w:spacing w:before="120"/>
        <w:ind w:left="426"/>
        <w:jc w:val="both"/>
        <w:rPr>
          <w:rFonts w:cs="Times New Roman"/>
        </w:rPr>
      </w:pPr>
      <w:r w:rsidRPr="001D2AA1">
        <w:rPr>
          <w:rFonts w:cs="Times New Roman"/>
          <w:b/>
          <w:i/>
          <w:iCs/>
        </w:rPr>
        <w:t>anonymně</w:t>
      </w:r>
    </w:p>
    <w:p w:rsidR="005412AD" w:rsidRPr="001D2AA1" w:rsidRDefault="005412AD" w:rsidP="001D2AA1">
      <w:pPr>
        <w:pStyle w:val="Textbody"/>
        <w:spacing w:before="120"/>
        <w:jc w:val="both"/>
        <w:rPr>
          <w:rFonts w:cs="Times New Roman"/>
        </w:rPr>
      </w:pPr>
      <w:r w:rsidRPr="001D2AA1">
        <w:rPr>
          <w:rFonts w:cs="Times New Roman"/>
        </w:rPr>
        <w:t xml:space="preserve">K anonymním stížnostem je určena schránka na stížnosti, která je umístěna v přízemí naproti vchodovým dveřím. </w:t>
      </w:r>
      <w:r w:rsidR="001D2AA1">
        <w:rPr>
          <w:rFonts w:cs="Times New Roman"/>
        </w:rPr>
        <w:t>Schránku vybírá</w:t>
      </w:r>
      <w:r w:rsidRPr="001D2AA1">
        <w:rPr>
          <w:rFonts w:cs="Times New Roman"/>
        </w:rPr>
        <w:t xml:space="preserve"> pouze vedoucí domova za asistence </w:t>
      </w:r>
      <w:r w:rsidR="001D2AA1">
        <w:rPr>
          <w:rFonts w:cs="Times New Roman"/>
        </w:rPr>
        <w:t xml:space="preserve">sociálních pracovníků. </w:t>
      </w:r>
      <w:r w:rsidRPr="001D2AA1">
        <w:rPr>
          <w:rFonts w:cs="Times New Roman"/>
        </w:rPr>
        <w:t>Anonymním způsobem lze podat stížnost i písemně poštou na adresu zařízení, na elektronickou adresu zařízení nebo telefonicky.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Každá stížnost včetně té anonymní je zaznamenána v Knize stížností, a je podepsána oběma stranami. Pokud stěžovatel nemůže toto podepsat, je přizván jeho tlumočník či pověřená osoba. Anonymní stížnost je podepsána pouze poskytovatelem.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1D2AA1" w:rsidP="001D2AA1">
      <w:pPr>
        <w:pStyle w:val="Textbody"/>
        <w:spacing w:after="0"/>
        <w:jc w:val="both"/>
        <w:rPr>
          <w:rFonts w:cs="Times New Roman"/>
        </w:rPr>
      </w:pPr>
      <w:r>
        <w:rPr>
          <w:rFonts w:cs="Times New Roman"/>
        </w:rPr>
        <w:t>Uživatelé včetně svých opatrovníků</w:t>
      </w:r>
      <w:r w:rsidR="005412AD" w:rsidRPr="001D2AA1">
        <w:rPr>
          <w:rFonts w:cs="Times New Roman"/>
        </w:rPr>
        <w:t xml:space="preserve"> mají také možnost podávat stížn</w:t>
      </w:r>
      <w:r>
        <w:rPr>
          <w:rFonts w:cs="Times New Roman"/>
        </w:rPr>
        <w:t>osti, které se týkají provozu a </w:t>
      </w:r>
      <w:r w:rsidR="005412AD" w:rsidRPr="001D2AA1">
        <w:rPr>
          <w:rFonts w:cs="Times New Roman"/>
        </w:rPr>
        <w:t xml:space="preserve">života v zařízení jednou měsíčně na schůzích obyvatel. V tomto případě se nejedná o anonymní stížnosti. Jde o snahu </w:t>
      </w:r>
      <w:r>
        <w:rPr>
          <w:rFonts w:cs="Times New Roman"/>
        </w:rPr>
        <w:t>zařízení, aby se uživatelé</w:t>
      </w:r>
      <w:r w:rsidR="005412AD" w:rsidRPr="001D2AA1">
        <w:rPr>
          <w:rFonts w:cs="Times New Roman"/>
        </w:rPr>
        <w:t xml:space="preserve"> mohli vyjádřit přede všemi, co se jim nelíbí a mají možnost podat si návrh na změnu.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  <w:b/>
          <w:bCs/>
        </w:rPr>
      </w:pPr>
    </w:p>
    <w:p w:rsidR="005412AD" w:rsidRPr="001D2AA1" w:rsidRDefault="005412AD" w:rsidP="001D2AA1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 w:rsidRPr="001D2AA1">
        <w:rPr>
          <w:rFonts w:cs="Times New Roman"/>
          <w:b/>
          <w:bCs/>
        </w:rPr>
        <w:t>Komu má být stížnost předána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Komu má být stížnost, podnět či přip</w:t>
      </w:r>
      <w:r w:rsidR="001D2AA1">
        <w:rPr>
          <w:rFonts w:cs="Times New Roman"/>
        </w:rPr>
        <w:t>omínka předána, není pro uživatele</w:t>
      </w:r>
      <w:r w:rsidRPr="001D2AA1">
        <w:rPr>
          <w:rFonts w:cs="Times New Roman"/>
        </w:rPr>
        <w:t xml:space="preserve"> vymezeno. Každý pracovník zařízení je povinen stížnost převzít a předat sobě nadří</w:t>
      </w:r>
      <w:r w:rsidR="001D2AA1">
        <w:rPr>
          <w:rFonts w:cs="Times New Roman"/>
        </w:rPr>
        <w:t>zenému vedoucímu pracovníkovi. Stěžuje-li si uživatel</w:t>
      </w:r>
      <w:r w:rsidRPr="001D2AA1">
        <w:rPr>
          <w:rFonts w:cs="Times New Roman"/>
        </w:rPr>
        <w:t xml:space="preserve"> na dotyčného vedoucího pracovníka, je stížnost předána řediteli či jeho zástupci.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 w:rsidRPr="001D2AA1">
        <w:rPr>
          <w:rFonts w:cs="Times New Roman"/>
          <w:b/>
          <w:bCs/>
        </w:rPr>
        <w:t>Lhůta a způsob vyřízení stížností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Vedoucí pracovník obdrženou stížnost zapíše do Knihy stížností, která je uložena v jeho kanceláři. Stížnost se pak navrhne na řešení na mimořádné poradě týmu, která se bude konat nejpozději do 2 dnů od obdržení stížnosti.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Všechny podané stížnosti je nutno urychleně prozkoumat a vyřídit nebo zařídit jejich vyřízení. Prošetřování stížnosti musí být prováděno bez průtahů. Musí být prošetřeny všechny body stížnosti.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Stížnosti, které není možno prošetřovat na místě, musí být vyřízeny do 10 dnů ode dne zaregistrování do Knihy stížností. Stížnosti, které nelze do 10 dnů po jejich doručení vyřídit</w:t>
      </w:r>
      <w:r w:rsidR="001D2AA1">
        <w:rPr>
          <w:rFonts w:cs="Times New Roman"/>
        </w:rPr>
        <w:t>, musí být stěžovateli potvrzeny</w:t>
      </w:r>
      <w:r w:rsidRPr="001D2AA1">
        <w:rPr>
          <w:rFonts w:cs="Times New Roman"/>
        </w:rPr>
        <w:t xml:space="preserve"> písemně a musí být vyřízeny nejdéle </w:t>
      </w:r>
      <w:r w:rsidR="001D2AA1">
        <w:rPr>
          <w:rFonts w:cs="Times New Roman"/>
        </w:rPr>
        <w:t>do 30 dnů od jejich doručení. O </w:t>
      </w:r>
      <w:r w:rsidRPr="001D2AA1">
        <w:rPr>
          <w:rFonts w:cs="Times New Roman"/>
        </w:rPr>
        <w:t>vyřízení stížnosti musí být stěžovateli podána písemná zpráva i v případě, že stížnost byla posouzena jako neoprávněná.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lastRenderedPageBreak/>
        <w:t xml:space="preserve"> Řešení stížností může probíhat za účasti minimálně dvou pracovníků týmu. Pracovníci musí posuzovat stížnost nezaujatě, podle svého svědomí, bez sympatií k určitým osobám.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 w:rsidRPr="001D2AA1">
        <w:rPr>
          <w:rFonts w:cs="Times New Roman"/>
          <w:b/>
          <w:bCs/>
        </w:rPr>
        <w:t>Zápis o prošetření stížností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O průběhu jednání týmu a o jeho výsledku je vyhotoven písemný záznam, který je předložen stěžovateli.</w:t>
      </w:r>
      <w:r w:rsidR="001D2AA1">
        <w:rPr>
          <w:rFonts w:cs="Times New Roman"/>
        </w:rPr>
        <w:t xml:space="preserve"> </w:t>
      </w:r>
      <w:r w:rsidRPr="001D2AA1">
        <w:rPr>
          <w:rFonts w:cs="Times New Roman"/>
        </w:rPr>
        <w:t xml:space="preserve">Tento písemný záznam musí obsahovat jména všech osob, jež se účastnili jednání, stručné a výstižné líčení průběhu a výsledku jednání, jakož i </w:t>
      </w:r>
      <w:proofErr w:type="gramStart"/>
      <w:r w:rsidRPr="001D2AA1">
        <w:rPr>
          <w:rFonts w:cs="Times New Roman"/>
        </w:rPr>
        <w:t>doložku</w:t>
      </w:r>
      <w:proofErr w:type="gramEnd"/>
      <w:r w:rsidRPr="001D2AA1">
        <w:rPr>
          <w:rFonts w:cs="Times New Roman"/>
        </w:rPr>
        <w:t xml:space="preserve">, že účastníci byli s obsahem seznámeni. 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Zápis podepíší všichni účastníci jednání. Jestliže některý účastník nesouhlasí s obsahem a odmítne zápis podepsat, poznamená se i toto do zápisu, spolu s uvedením důvodu odmítnutí podpisu.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b/>
          <w:bCs/>
        </w:rPr>
      </w:pPr>
      <w:r w:rsidRPr="001D2AA1">
        <w:rPr>
          <w:rFonts w:cs="Times New Roman"/>
          <w:b/>
          <w:bCs/>
        </w:rPr>
        <w:t>Odvolání v případě nespokojenosti stěžovatele s vyřízením stížnosti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 xml:space="preserve">Pokud stěžovatel nesouhlasí se způsobem a výsledkem vyřízení stížnosti, může se obrátit </w:t>
      </w:r>
      <w:proofErr w:type="gramStart"/>
      <w:r w:rsidRPr="001D2AA1">
        <w:rPr>
          <w:rFonts w:cs="Times New Roman"/>
        </w:rPr>
        <w:t>na</w:t>
      </w:r>
      <w:proofErr w:type="gramEnd"/>
      <w:r w:rsidRPr="001D2AA1">
        <w:rPr>
          <w:rFonts w:cs="Times New Roman"/>
        </w:rPr>
        <w:t>: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1D2AA1" w:rsidP="001D2AA1">
      <w:pPr>
        <w:pStyle w:val="Textbody"/>
        <w:numPr>
          <w:ilvl w:val="0"/>
          <w:numId w:val="5"/>
        </w:numPr>
        <w:spacing w:after="0"/>
        <w:ind w:left="426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    Radu</w:t>
      </w:r>
      <w:r w:rsidR="005412AD" w:rsidRPr="001D2AA1">
        <w:rPr>
          <w:rFonts w:cs="Times New Roman"/>
          <w:b/>
          <w:bCs/>
        </w:rPr>
        <w:t xml:space="preserve"> města Domažlice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Náměstí Míru 1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344 20 Domažlice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tel.: 379 719 111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</w:r>
      <w:hyperlink r:id="rId8" w:history="1">
        <w:r w:rsidRPr="001D2AA1">
          <w:rPr>
            <w:rStyle w:val="Hypertextovodkaz"/>
            <w:rFonts w:cs="Times New Roman"/>
          </w:rPr>
          <w:t>posta@mesto-domazlice.cz</w:t>
        </w:r>
      </w:hyperlink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numPr>
          <w:ilvl w:val="0"/>
          <w:numId w:val="5"/>
        </w:numPr>
        <w:spacing w:after="0"/>
        <w:ind w:left="426"/>
        <w:jc w:val="both"/>
        <w:rPr>
          <w:rFonts w:cs="Times New Roman"/>
        </w:rPr>
      </w:pPr>
      <w:r w:rsidRPr="001D2AA1">
        <w:rPr>
          <w:rFonts w:cs="Times New Roman"/>
          <w:b/>
          <w:bCs/>
        </w:rPr>
        <w:t xml:space="preserve">    Městský úřad Domažlice, odbor sociálních věcí a zdravotnictví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U Nemocnice 579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344 20 Domažlice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tel.: 379 719 111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posta@</w:t>
      </w:r>
      <w:proofErr w:type="spellStart"/>
      <w:r w:rsidRPr="001D2AA1">
        <w:rPr>
          <w:rFonts w:cs="Times New Roman"/>
        </w:rPr>
        <w:t>mesto</w:t>
      </w:r>
      <w:proofErr w:type="spellEnd"/>
      <w:r w:rsidRPr="001D2AA1">
        <w:rPr>
          <w:rFonts w:cs="Times New Roman"/>
        </w:rPr>
        <w:t>-domazlice.cz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BA236E" w:rsidRPr="00BA236E" w:rsidRDefault="005412AD" w:rsidP="00BA236E">
      <w:pPr>
        <w:pStyle w:val="Textbody"/>
        <w:numPr>
          <w:ilvl w:val="0"/>
          <w:numId w:val="5"/>
        </w:numPr>
        <w:spacing w:after="0"/>
        <w:ind w:left="426"/>
        <w:jc w:val="both"/>
        <w:rPr>
          <w:rFonts w:cs="Times New Roman"/>
        </w:rPr>
      </w:pPr>
      <w:r w:rsidRPr="001D2AA1">
        <w:rPr>
          <w:rFonts w:cs="Times New Roman"/>
          <w:b/>
          <w:bCs/>
        </w:rPr>
        <w:t xml:space="preserve">    Krajský úřad Plzeňského kraje</w:t>
      </w:r>
    </w:p>
    <w:p w:rsidR="00BA236E" w:rsidRPr="00BA236E" w:rsidRDefault="00BA236E" w:rsidP="00BA236E">
      <w:pPr>
        <w:pStyle w:val="Textbody"/>
        <w:numPr>
          <w:ilvl w:val="0"/>
          <w:numId w:val="5"/>
        </w:numPr>
        <w:spacing w:after="0"/>
        <w:ind w:left="426"/>
        <w:jc w:val="both"/>
        <w:rPr>
          <w:rFonts w:cs="Times New Roman"/>
        </w:rPr>
      </w:pPr>
      <w:r>
        <w:rPr>
          <w:rFonts w:cs="Times New Roman"/>
          <w:b/>
          <w:bCs/>
        </w:rPr>
        <w:tab/>
      </w:r>
      <w:r w:rsidRPr="00BA236E">
        <w:rPr>
          <w:rFonts w:cs="Times New Roman"/>
          <w:bCs/>
        </w:rPr>
        <w:t>odbor sociálních věcí</w:t>
      </w:r>
    </w:p>
    <w:p w:rsidR="005412AD" w:rsidRPr="00BA236E" w:rsidRDefault="005412AD" w:rsidP="00BA236E">
      <w:pPr>
        <w:pStyle w:val="Textbody"/>
        <w:numPr>
          <w:ilvl w:val="0"/>
          <w:numId w:val="5"/>
        </w:numPr>
        <w:spacing w:after="0"/>
        <w:ind w:left="426"/>
        <w:jc w:val="both"/>
        <w:rPr>
          <w:rFonts w:cs="Times New Roman"/>
        </w:rPr>
      </w:pPr>
      <w:r w:rsidRPr="00BA236E">
        <w:rPr>
          <w:rFonts w:cs="Times New Roman"/>
        </w:rPr>
        <w:tab/>
      </w:r>
      <w:proofErr w:type="spellStart"/>
      <w:r w:rsidRPr="00BA236E">
        <w:rPr>
          <w:rFonts w:cs="Times New Roman"/>
        </w:rPr>
        <w:t>Škroupova</w:t>
      </w:r>
      <w:proofErr w:type="spellEnd"/>
      <w:r w:rsidRPr="00BA236E">
        <w:rPr>
          <w:rFonts w:cs="Times New Roman"/>
        </w:rPr>
        <w:t xml:space="preserve"> 18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P. O. Box 313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306 13 Plzeň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ab/>
        <w:t>posta@</w:t>
      </w:r>
      <w:proofErr w:type="spellStart"/>
      <w:r w:rsidRPr="001D2AA1">
        <w:rPr>
          <w:rFonts w:cs="Times New Roman"/>
        </w:rPr>
        <w:t>plzensky</w:t>
      </w:r>
      <w:proofErr w:type="spellEnd"/>
      <w:r w:rsidRPr="001D2AA1">
        <w:rPr>
          <w:rFonts w:cs="Times New Roman"/>
        </w:rPr>
        <w:t>-kraj.cz</w:t>
      </w: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</w:rPr>
      </w:pPr>
    </w:p>
    <w:p w:rsidR="005412AD" w:rsidRPr="001D2AA1" w:rsidRDefault="005412AD" w:rsidP="001D2AA1">
      <w:pPr>
        <w:pStyle w:val="Textbody"/>
        <w:spacing w:after="0"/>
        <w:jc w:val="both"/>
        <w:rPr>
          <w:rFonts w:cs="Times New Roman"/>
          <w:b/>
          <w:bCs/>
        </w:rPr>
      </w:pPr>
    </w:p>
    <w:p w:rsidR="00B91901" w:rsidRPr="00BA236E" w:rsidRDefault="005412AD" w:rsidP="00BA236E">
      <w:pPr>
        <w:pStyle w:val="Textbody"/>
        <w:spacing w:after="0"/>
        <w:jc w:val="both"/>
        <w:rPr>
          <w:rFonts w:cs="Times New Roman"/>
        </w:rPr>
      </w:pPr>
      <w:r w:rsidRPr="001D2AA1">
        <w:rPr>
          <w:rFonts w:cs="Times New Roman"/>
        </w:rPr>
        <w:t>Proti stěžovateli nesmí být činěny přímé či nepřímé zákroky proto, že podal stížnost. Požádá-li stěžovatel, aby jeho jméno nebylo uváděno, postoupí se k prošetření stížnosti bez uvedení jména stěžovatele. Je nepřípustné postupovat stížnost k vyřízení (prošetření) pracovníkům, proti kterým stížnost směřuje. Stížnost je chápána jako nástroj pro zlepšení kvality poskytované péče.</w:t>
      </w:r>
    </w:p>
    <w:sectPr w:rsidR="00B91901" w:rsidRPr="00BA236E" w:rsidSect="000630E6">
      <w:footerReference w:type="default" r:id="rId9"/>
      <w:pgSz w:w="11905" w:h="16837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A5A" w:rsidRDefault="002C0A5A">
      <w:r>
        <w:separator/>
      </w:r>
    </w:p>
  </w:endnote>
  <w:endnote w:type="continuationSeparator" w:id="0">
    <w:p w:rsidR="002C0A5A" w:rsidRDefault="002C0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ED" w:rsidRDefault="000630E6">
    <w:pPr>
      <w:pStyle w:val="Zpat"/>
      <w:jc w:val="center"/>
    </w:pPr>
    <w:r>
      <w:fldChar w:fldCharType="begin"/>
    </w:r>
    <w:r w:rsidR="005412AD">
      <w:instrText xml:space="preserve"> PAGE </w:instrText>
    </w:r>
    <w:r>
      <w:fldChar w:fldCharType="separate"/>
    </w:r>
    <w:r w:rsidR="00BA236E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A5A" w:rsidRDefault="002C0A5A">
      <w:r>
        <w:separator/>
      </w:r>
    </w:p>
  </w:footnote>
  <w:footnote w:type="continuationSeparator" w:id="0">
    <w:p w:rsidR="002C0A5A" w:rsidRDefault="002C0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6E9"/>
    <w:multiLevelType w:val="multilevel"/>
    <w:tmpl w:val="51628110"/>
    <w:lvl w:ilvl="0">
      <w:numFmt w:val="bullet"/>
      <w:lvlText w:val=""/>
      <w:lvlJc w:val="left"/>
      <w:pPr>
        <w:ind w:left="142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">
    <w:nsid w:val="33C835E4"/>
    <w:multiLevelType w:val="multilevel"/>
    <w:tmpl w:val="77740F5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4667C7A"/>
    <w:multiLevelType w:val="multilevel"/>
    <w:tmpl w:val="63D66AE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BEA37B9"/>
    <w:multiLevelType w:val="multilevel"/>
    <w:tmpl w:val="C2888A4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8594C25"/>
    <w:multiLevelType w:val="multilevel"/>
    <w:tmpl w:val="CAC6A8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2AD"/>
    <w:rsid w:val="000630E6"/>
    <w:rsid w:val="001D2AA1"/>
    <w:rsid w:val="002C0A5A"/>
    <w:rsid w:val="005412AD"/>
    <w:rsid w:val="00823787"/>
    <w:rsid w:val="008A2C9D"/>
    <w:rsid w:val="00916481"/>
    <w:rsid w:val="00B91901"/>
    <w:rsid w:val="00BA236E"/>
    <w:rsid w:val="00E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41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1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5412AD"/>
    <w:pPr>
      <w:spacing w:after="120"/>
    </w:pPr>
  </w:style>
  <w:style w:type="paragraph" w:styleId="Zpat">
    <w:name w:val="footer"/>
    <w:basedOn w:val="Normln"/>
    <w:link w:val="ZpatChar"/>
    <w:rsid w:val="00541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2AD"/>
    <w:rPr>
      <w:rFonts w:ascii="Times New Roman" w:eastAsia="Tahoma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5412AD"/>
    <w:pPr>
      <w:suppressLineNumbers/>
      <w:spacing w:line="100" w:lineRule="atLeast"/>
    </w:pPr>
    <w:rPr>
      <w:lang w:eastAsia="ar-SA"/>
    </w:rPr>
  </w:style>
  <w:style w:type="paragraph" w:styleId="Zkladntext">
    <w:name w:val="Body Text"/>
    <w:basedOn w:val="Normln"/>
    <w:link w:val="ZkladntextChar"/>
    <w:rsid w:val="005412AD"/>
    <w:pPr>
      <w:spacing w:after="120" w:line="100" w:lineRule="atLeast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412AD"/>
    <w:rPr>
      <w:rFonts w:ascii="Times New Roman" w:eastAsia="Tahoma" w:hAnsi="Times New Roman" w:cs="Tahoma"/>
      <w:kern w:val="3"/>
      <w:sz w:val="24"/>
      <w:szCs w:val="24"/>
      <w:lang w:eastAsia="ar-SA"/>
    </w:rPr>
  </w:style>
  <w:style w:type="character" w:styleId="Hypertextovodkaz">
    <w:name w:val="Hyperlink"/>
    <w:basedOn w:val="Standardnpsmoodstavce"/>
    <w:rsid w:val="005412AD"/>
    <w:rPr>
      <w:color w:val="0563C1"/>
      <w:u w:val="single"/>
    </w:rPr>
  </w:style>
  <w:style w:type="character" w:customStyle="1" w:styleId="Standardnpsmoodstavce2">
    <w:name w:val="Standardní písmo odstavce2"/>
    <w:rsid w:val="00541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541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1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5412AD"/>
    <w:pPr>
      <w:spacing w:after="120"/>
    </w:pPr>
  </w:style>
  <w:style w:type="paragraph" w:styleId="Zpat">
    <w:name w:val="footer"/>
    <w:basedOn w:val="Normln"/>
    <w:link w:val="ZpatChar"/>
    <w:rsid w:val="00541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12AD"/>
    <w:rPr>
      <w:rFonts w:ascii="Times New Roman" w:eastAsia="Tahoma" w:hAnsi="Times New Roman" w:cs="Tahoma"/>
      <w:kern w:val="3"/>
      <w:sz w:val="24"/>
      <w:szCs w:val="24"/>
      <w:lang w:eastAsia="cs-CZ"/>
    </w:rPr>
  </w:style>
  <w:style w:type="paragraph" w:customStyle="1" w:styleId="TableContents">
    <w:name w:val="Table Contents"/>
    <w:basedOn w:val="Normln"/>
    <w:rsid w:val="005412AD"/>
    <w:pPr>
      <w:suppressLineNumbers/>
      <w:spacing w:line="100" w:lineRule="atLeast"/>
    </w:pPr>
    <w:rPr>
      <w:lang w:eastAsia="ar-SA"/>
    </w:rPr>
  </w:style>
  <w:style w:type="paragraph" w:styleId="Zkladntext">
    <w:name w:val="Body Text"/>
    <w:basedOn w:val="Normln"/>
    <w:link w:val="ZkladntextChar"/>
    <w:rsid w:val="005412AD"/>
    <w:pPr>
      <w:spacing w:after="120" w:line="100" w:lineRule="atLeast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5412AD"/>
    <w:rPr>
      <w:rFonts w:ascii="Times New Roman" w:eastAsia="Tahoma" w:hAnsi="Times New Roman" w:cs="Tahoma"/>
      <w:kern w:val="3"/>
      <w:sz w:val="24"/>
      <w:szCs w:val="24"/>
      <w:lang w:eastAsia="ar-SA"/>
    </w:rPr>
  </w:style>
  <w:style w:type="character" w:styleId="Hypertextovodkaz">
    <w:name w:val="Hyperlink"/>
    <w:basedOn w:val="Standardnpsmoodstavce"/>
    <w:rsid w:val="005412AD"/>
    <w:rPr>
      <w:color w:val="0563C1"/>
      <w:u w:val="single"/>
    </w:rPr>
  </w:style>
  <w:style w:type="character" w:customStyle="1" w:styleId="Standardnpsmoodstavce2">
    <w:name w:val="Standardní písmo odstavce2"/>
    <w:rsid w:val="0054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esto-domazli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1037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SESTRA2</dc:creator>
  <cp:keywords/>
  <dc:description/>
  <cp:lastModifiedBy>Hanka</cp:lastModifiedBy>
  <cp:revision>6</cp:revision>
  <dcterms:created xsi:type="dcterms:W3CDTF">2018-02-23T10:04:00Z</dcterms:created>
  <dcterms:modified xsi:type="dcterms:W3CDTF">2018-02-26T20:54:00Z</dcterms:modified>
</cp:coreProperties>
</file>